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4C0E4E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4C0E4E">
        <w:rPr>
          <w:rFonts w:hint="cs"/>
          <w:b w:val="0"/>
          <w:bCs w:val="0"/>
          <w:sz w:val="40"/>
          <w:rtl/>
        </w:rPr>
        <w:t>دعای</w:t>
      </w:r>
      <w:r w:rsidR="00297DCC">
        <w:rPr>
          <w:rFonts w:hint="cs"/>
          <w:b w:val="0"/>
          <w:bCs w:val="0"/>
          <w:sz w:val="40"/>
          <w:rtl/>
        </w:rPr>
        <w:t xml:space="preserve"> گشایش در کار</w:t>
      </w:r>
      <w:r w:rsidR="004C0E4E">
        <w:rPr>
          <w:rFonts w:hint="cs"/>
          <w:b w:val="0"/>
          <w:bCs w:val="0"/>
          <w:sz w:val="40"/>
          <w:rtl/>
        </w:rPr>
        <w:t xml:space="preserve"> بسته شده</w:t>
      </w:r>
    </w:p>
    <w:p w:rsidR="004C0E4E" w:rsidRPr="004C0E4E" w:rsidRDefault="004C0E4E" w:rsidP="00297DCC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4C0E4E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 به جهت گشایش در کار بسته شده می باشد</w:t>
      </w:r>
      <w:r w:rsidRPr="004C0E4E">
        <w:rPr>
          <w:rStyle w:val="farsi"/>
          <w:rFonts w:cs="B Zar"/>
          <w:sz w:val="32"/>
          <w:szCs w:val="32"/>
        </w:rPr>
        <w:t xml:space="preserve">: </w:t>
      </w:r>
    </w:p>
    <w:p w:rsidR="00297DCC" w:rsidRDefault="00297DCC" w:rsidP="00297DCC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297DCC">
        <w:rPr>
          <w:rStyle w:val="farsi"/>
          <w:rFonts w:cs="B Zar"/>
          <w:sz w:val="32"/>
          <w:szCs w:val="32"/>
          <w:rtl/>
        </w:rPr>
        <w:t xml:space="preserve">ابتداى سوره انّا فتحنا مستقيما و نيز سوره اذا جاء نصر اللّه و نيز اين آيات را بنويسند: </w:t>
      </w:r>
    </w:p>
    <w:p w:rsidR="004C0E4E" w:rsidRPr="00297DCC" w:rsidRDefault="004C0E4E" w:rsidP="00297DC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مِنْ آياتِهِ اَنْ جَعَلَ لَكُمْ مِنْ اَنْفُسِكُمْ اَزْواجاً 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لِتَسْكُنُوا اِلَيْها وَ جَعَلَ بَيْنَكُمْ مَوَدَّةً وَ رَحْمَةً 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فى ذلِكَ لاَياتٍ لِقَوْمٍ يَتَفَكَّروُنَ </w:t>
      </w:r>
      <w:r w:rsidR="004C0E4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C0E4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ثُمَّ ادْخُلُوا عَلَيْهِمُ الْبابَ فَاِذا دَخَلْتُمُوهُ فَاِنَّكُمْ غالِبُونَ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>فَفَتَحْنا اَبْوابَ السَّمآءِ بِمآءٍ مُنْهَمِرٍ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فَجَّرْنَا الا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َرْضَ عُيُوناً 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فَالْتَقَى الْمآءُ عَلى اَمْرٍ قَدْ قُدِرَ </w:t>
      </w:r>
      <w:r w:rsidR="004C0E4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C0E4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اشْرَحْ لى صَدْرى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يَسِّرْلى اَمْرى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وَ احْلُلْ عُقْدَةً مِنْ لِسانى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يَفْقَهُوا قَوْلى 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4"/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تَرَكْنا بَعْضَهُمْ يَوْمَئِذٍ يَمُوجُ فى بَعْضٍ وَ نُفِخَ فِى الصُّورِ </w:t>
      </w:r>
    </w:p>
    <w:p w:rsidR="00AB0590" w:rsidRPr="00297DCC" w:rsidRDefault="00AB0590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فَجَمَعْناهُمْ جَمْعاً </w:t>
      </w:r>
      <w:r w:rsidR="004C0E4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C0E4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5"/>
      </w: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كذلك حَلَلْتُ فُلانَ بْنِ فُلانٍ عَنْ بِنْتِ فُلانَةٍ 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4C0E4E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297DCC"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لَقَدْ جائَكُمْ رَسُولٌ مِنْ اَنْفُسِكُمْ عَزيزٌ عَلَيْهِ 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ما عَنِتُّمْ حَريصٌ عَلَيْكُمْ بِالْمُؤْمِنينَ رَؤُفٌ رَحيمٌ </w:t>
      </w:r>
      <w:r w:rsidR="004C0E4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297DCC" w:rsidRPr="00297DCC" w:rsidRDefault="00297DCC" w:rsidP="00297D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297D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فَاِنْ تَوَلَّوْا فَقُلْ حَسْبِىَ اللَّهُ لا اِلهَ اِلاّ هُوَ عَلَيْهِ تَوَكَّلْتُ وَ هُوَ رَبُّ الْعَرْشِ الْعَظيمِ </w:t>
      </w:r>
      <w:r w:rsidR="004C0E4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C0E4E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6"/>
      </w:r>
    </w:p>
    <w:p w:rsidR="00677533" w:rsidRPr="002E0987" w:rsidRDefault="00297DCC" w:rsidP="00297DC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297DCC">
        <w:rPr>
          <w:rStyle w:val="farsi"/>
          <w:rFonts w:cs="B Zar"/>
          <w:sz w:val="32"/>
          <w:szCs w:val="32"/>
          <w:rtl/>
        </w:rPr>
        <w:lastRenderedPageBreak/>
        <w:t>سپس اين نوشته‏ را همراه او كرده، بر او بياويزند. همچنين در طلب الأئمّه دعايى از حضرت موسى بن جعفر عليه السّلام نقل شده: تعليم اسحاق صحّاف‏ فرمود، چون طولانى بود از ذكرش صرف‏نظر كرديم.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59D" w:rsidRDefault="0023459D" w:rsidP="00D022FA">
      <w:pPr>
        <w:spacing w:after="0" w:line="240" w:lineRule="auto"/>
      </w:pPr>
      <w:r>
        <w:separator/>
      </w:r>
    </w:p>
  </w:endnote>
  <w:endnote w:type="continuationSeparator" w:id="0">
    <w:p w:rsidR="0023459D" w:rsidRDefault="0023459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D39B81F-9D94-42AC-A778-7B6FE3F6B5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3552B3C-2588-45F2-A8AB-C5F15CD57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6F60F55-A733-4649-B613-F22F0DAF000D}"/>
    <w:embedBold r:id="rId4" w:fontKey="{1A5D1C80-E25B-4AED-A84A-9488406546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2A2478C-0A20-48F3-995D-69EF8D22A454}"/>
    <w:embedBold r:id="rId6" w:fontKey="{3C4A7276-FA74-4929-94DE-04CB16F261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CCA5529-E69F-4AA5-B468-6006137CCB5E}"/>
    <w:embedBold r:id="rId8" w:fontKey="{21708BB3-06D7-4362-B7FB-84CC7CF319F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6CA7362-C501-4BCB-B628-267901A1D074}"/>
    <w:embedBold r:id="rId10" w:fontKey="{DF77BC25-AC3A-49AB-B0F4-6BF2D0C12CE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2646EEF-336F-4826-B8E7-CF040645CD69}"/>
    <w:embedBold r:id="rId12" w:fontKey="{297DEDA6-BF8B-4FBA-9F0F-FF392B9FF82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7F88F02-6B52-4003-8AB5-C79F81BAEFEE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CC38867-8ECE-417E-8F47-D486A8D30C9E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FB9F175-3120-405D-84D0-4BC0227038E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2B2DED1-9641-4B44-861C-10F910AE7CEF}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001F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B0590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59D" w:rsidRDefault="0023459D" w:rsidP="00D022FA">
      <w:pPr>
        <w:spacing w:after="0" w:line="240" w:lineRule="auto"/>
      </w:pPr>
      <w:r>
        <w:separator/>
      </w:r>
    </w:p>
  </w:footnote>
  <w:footnote w:type="continuationSeparator" w:id="0">
    <w:p w:rsidR="0023459D" w:rsidRDefault="0023459D" w:rsidP="00D022FA">
      <w:pPr>
        <w:spacing w:after="0" w:line="240" w:lineRule="auto"/>
      </w:pPr>
      <w:r>
        <w:continuationSeparator/>
      </w:r>
    </w:p>
  </w:footnote>
  <w:footnote w:id="1">
    <w:p w:rsidR="004C0E4E" w:rsidRPr="004C0E4E" w:rsidRDefault="004C0E4E">
      <w:pPr>
        <w:pStyle w:val="FootnoteText"/>
        <w:rPr>
          <w:rStyle w:val="farsi"/>
          <w:rFonts w:ascii="BatangChe" w:eastAsia="BatangChe" w:hAnsi="BatangChe" w:cs="B Zar"/>
        </w:rPr>
      </w:pPr>
      <w:r w:rsidRPr="004C0E4E">
        <w:rPr>
          <w:rStyle w:val="farsi"/>
          <w:rFonts w:ascii="BatangChe" w:eastAsia="BatangChe" w:hAnsi="BatangChe" w:cs="B Zar"/>
        </w:rPr>
        <w:footnoteRef/>
      </w:r>
      <w:r w:rsidRPr="004C0E4E">
        <w:rPr>
          <w:rStyle w:val="farsi"/>
          <w:rFonts w:ascii="BatangChe" w:eastAsia="BatangChe" w:hAnsi="BatangChe" w:cs="B Zar"/>
          <w:rtl/>
        </w:rPr>
        <w:t xml:space="preserve"> </w:t>
      </w:r>
      <w:r>
        <w:rPr>
          <w:rStyle w:val="farsi"/>
          <w:rFonts w:ascii="BatangChe" w:eastAsia="BatangChe" w:hAnsi="BatangChe" w:cs="B Zar" w:hint="cs"/>
          <w:rtl/>
        </w:rPr>
        <w:t>) سوره الروم، آیه 21.</w:t>
      </w:r>
    </w:p>
  </w:footnote>
  <w:footnote w:id="2">
    <w:p w:rsidR="004C0E4E" w:rsidRPr="004C0E4E" w:rsidRDefault="004C0E4E">
      <w:pPr>
        <w:pStyle w:val="FootnoteText"/>
        <w:rPr>
          <w:rFonts w:cs="B Zar" w:hint="cs"/>
          <w:lang w:bidi="fa-IR"/>
        </w:rPr>
      </w:pPr>
      <w:r w:rsidRPr="004C0E4E">
        <w:rPr>
          <w:rStyle w:val="FootnoteReference"/>
          <w:rFonts w:cs="B Zar"/>
        </w:rPr>
        <w:footnoteRef/>
      </w:r>
      <w:r w:rsidRPr="004C0E4E">
        <w:rPr>
          <w:rFonts w:cs="B Zar"/>
          <w:rtl/>
        </w:rPr>
        <w:t xml:space="preserve"> </w:t>
      </w:r>
      <w:r w:rsidRPr="004C0E4E">
        <w:rPr>
          <w:rFonts w:cs="B Zar" w:hint="cs"/>
          <w:rtl/>
        </w:rPr>
        <w:t>) سوره المائده، آیه 23.</w:t>
      </w:r>
    </w:p>
  </w:footnote>
  <w:footnote w:id="3">
    <w:p w:rsidR="004C0E4E" w:rsidRPr="004C0E4E" w:rsidRDefault="004C0E4E">
      <w:pPr>
        <w:pStyle w:val="FootnoteText"/>
        <w:rPr>
          <w:rFonts w:cs="B Zar" w:hint="cs"/>
          <w:lang w:bidi="fa-IR"/>
        </w:rPr>
      </w:pPr>
      <w:r w:rsidRPr="004C0E4E">
        <w:rPr>
          <w:rStyle w:val="FootnoteReference"/>
          <w:rFonts w:cs="B Zar"/>
        </w:rPr>
        <w:footnoteRef/>
      </w:r>
      <w:r w:rsidRPr="004C0E4E">
        <w:rPr>
          <w:rFonts w:cs="B Zar"/>
          <w:rtl/>
        </w:rPr>
        <w:t xml:space="preserve"> </w:t>
      </w:r>
      <w:r w:rsidRPr="004C0E4E">
        <w:rPr>
          <w:rFonts w:cs="B Zar" w:hint="cs"/>
          <w:rtl/>
        </w:rPr>
        <w:t>) سوره القمر، آیات 11-12.</w:t>
      </w:r>
    </w:p>
  </w:footnote>
  <w:footnote w:id="4">
    <w:p w:rsidR="004C0E4E" w:rsidRDefault="004C0E4E">
      <w:pPr>
        <w:pStyle w:val="FootnoteText"/>
        <w:rPr>
          <w:rFonts w:hint="cs"/>
          <w:lang w:bidi="fa-IR"/>
        </w:rPr>
      </w:pPr>
      <w:r w:rsidRPr="004C0E4E">
        <w:rPr>
          <w:rStyle w:val="FootnoteReference"/>
          <w:rFonts w:cs="B Zar"/>
        </w:rPr>
        <w:footnoteRef/>
      </w:r>
      <w:r w:rsidRPr="004C0E4E">
        <w:rPr>
          <w:rFonts w:cs="B Zar"/>
          <w:rtl/>
        </w:rPr>
        <w:t xml:space="preserve"> </w:t>
      </w:r>
      <w:r w:rsidRPr="004C0E4E">
        <w:rPr>
          <w:rFonts w:cs="B Zar" w:hint="cs"/>
          <w:rtl/>
        </w:rPr>
        <w:t>) سوره طه، آیات 25-28.</w:t>
      </w:r>
    </w:p>
  </w:footnote>
  <w:footnote w:id="5">
    <w:p w:rsidR="004C0E4E" w:rsidRPr="004C0E4E" w:rsidRDefault="004C0E4E">
      <w:pPr>
        <w:pStyle w:val="FootnoteText"/>
        <w:rPr>
          <w:rFonts w:cs="B Zar" w:hint="cs"/>
        </w:rPr>
      </w:pPr>
      <w:r w:rsidRPr="004C0E4E">
        <w:rPr>
          <w:rFonts w:cs="B Zar"/>
        </w:rPr>
        <w:footnoteRef/>
      </w:r>
      <w:r w:rsidRPr="004C0E4E">
        <w:rPr>
          <w:rFonts w:cs="B Zar"/>
          <w:rtl/>
        </w:rPr>
        <w:t xml:space="preserve"> </w:t>
      </w:r>
      <w:r>
        <w:rPr>
          <w:rFonts w:cs="B Zar" w:hint="cs"/>
          <w:rtl/>
        </w:rPr>
        <w:t>) سوره الکهف، آیه 99.</w:t>
      </w:r>
    </w:p>
  </w:footnote>
  <w:footnote w:id="6">
    <w:p w:rsidR="004C0E4E" w:rsidRPr="004C0E4E" w:rsidRDefault="004C0E4E">
      <w:pPr>
        <w:pStyle w:val="FootnoteText"/>
        <w:rPr>
          <w:rFonts w:cs="B Zar" w:hint="cs"/>
        </w:rPr>
      </w:pPr>
      <w:r w:rsidRPr="004C0E4E">
        <w:rPr>
          <w:rFonts w:cs="B Zar"/>
        </w:rPr>
        <w:footnoteRef/>
      </w:r>
      <w:r w:rsidRPr="004C0E4E">
        <w:rPr>
          <w:rFonts w:cs="B Zar"/>
          <w:rtl/>
        </w:rPr>
        <w:t xml:space="preserve"> </w:t>
      </w:r>
      <w:r>
        <w:rPr>
          <w:rFonts w:cs="B Zar" w:hint="cs"/>
          <w:rtl/>
        </w:rPr>
        <w:t>) سوره التوبه، آیات 128-129.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C0E4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C9F0111" wp14:editId="6AF8C6C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4C0E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151F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297DC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گشایش در کار</w:t>
    </w:r>
    <w:r w:rsidR="004C0E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بسته شده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459D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0E4E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0590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C0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E4E"/>
  </w:style>
  <w:style w:type="character" w:styleId="FootnoteReference">
    <w:name w:val="footnote reference"/>
    <w:basedOn w:val="DefaultParagraphFont"/>
    <w:uiPriority w:val="99"/>
    <w:semiHidden/>
    <w:unhideWhenUsed/>
    <w:rsid w:val="004C0E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C0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E4E"/>
  </w:style>
  <w:style w:type="character" w:styleId="FootnoteReference">
    <w:name w:val="footnote reference"/>
    <w:basedOn w:val="DefaultParagraphFont"/>
    <w:uiPriority w:val="99"/>
    <w:semiHidden/>
    <w:unhideWhenUsed/>
    <w:rsid w:val="004C0E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2015-01-28T11:35:00Z</cp:lastPrinted>
  <dcterms:created xsi:type="dcterms:W3CDTF">2015-01-28T11:36:00Z</dcterms:created>
  <dcterms:modified xsi:type="dcterms:W3CDTF">2015-01-28T11:36:00Z</dcterms:modified>
</cp:coreProperties>
</file>