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6755D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66755D">
        <w:rPr>
          <w:rFonts w:hint="cs"/>
          <w:b w:val="0"/>
          <w:bCs w:val="0"/>
          <w:sz w:val="40"/>
          <w:rtl/>
        </w:rPr>
        <w:t xml:space="preserve">دعا برای ایمنی از </w:t>
      </w:r>
      <w:bookmarkStart w:id="0" w:name="_GoBack"/>
      <w:bookmarkEnd w:id="0"/>
      <w:r w:rsidR="0066755D">
        <w:rPr>
          <w:rFonts w:hint="cs"/>
          <w:b w:val="0"/>
          <w:bCs w:val="0"/>
          <w:sz w:val="40"/>
          <w:rtl/>
        </w:rPr>
        <w:t>د زد</w:t>
      </w:r>
    </w:p>
    <w:p w:rsidR="0066755D" w:rsidRPr="0066755D" w:rsidRDefault="0066755D" w:rsidP="0066755D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66755D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از جمله عوذات مأثوره، تلاوت آیه هایی از قرآن، برای ایمنی از دزد می باشد</w:t>
      </w:r>
      <w:r w:rsidRPr="0066755D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6755D" w:rsidRPr="0066755D" w:rsidRDefault="0066755D" w:rsidP="0066755D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66755D">
        <w:rPr>
          <w:rStyle w:val="farsi"/>
          <w:rFonts w:ascii="Calibri" w:eastAsia="Calibri" w:hAnsi="Calibri" w:cs="B Zar"/>
          <w:sz w:val="32"/>
          <w:szCs w:val="32"/>
          <w:rtl/>
        </w:rPr>
        <w:t>بخواند بر حلقه ها و قفل ها آیات زیر را</w:t>
      </w:r>
      <w:r w:rsidRPr="0066755D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6755D" w:rsidRPr="0066755D" w:rsidRDefault="0066755D" w:rsidP="0066755D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(</w:t>
      </w:r>
      <w:r w:rsidRPr="0066755D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قُلِ ادْعُواْ اللّهَ أَوِ ادْعُواْ الرَّحْمَـنَ أَیّاً مَّا تَدْعُواْ فَلَهُ الأَسْمَاء الْحُسْنَى وَلاَ تَجْهَرْ بِصَلاَتِکَ وَلاَ تُخَافِتْ بِهَا وَابْتَغِ بَیْنَ ذَلِکَ سَبِیلاً</w:t>
      </w:r>
    </w:p>
    <w:p w:rsidR="0066755D" w:rsidRDefault="0066755D" w:rsidP="0066755D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6755D">
        <w:rPr>
          <w:rStyle w:val="tarjome"/>
          <w:rFonts w:ascii="Calibri" w:eastAsia="Calibri" w:hAnsi="Calibri" w:cs="B Nazanin"/>
          <w:sz w:val="28"/>
          <w:szCs w:val="28"/>
          <w:rtl/>
        </w:rPr>
        <w:t>بگو</w:t>
      </w:r>
      <w:r>
        <w:rPr>
          <w:rStyle w:val="tarjome"/>
          <w:rFonts w:ascii="Calibri" w:eastAsia="Calibri" w:hAnsi="Calibri" w:cs="B Nazanin" w:hint="cs"/>
          <w:sz w:val="28"/>
          <w:szCs w:val="28"/>
          <w:rtl/>
        </w:rPr>
        <w:t>:</w:t>
      </w:r>
      <w:r w:rsidRPr="0066755D">
        <w:rPr>
          <w:rStyle w:val="tarjome"/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Style w:val="tarjome"/>
          <w:rFonts w:ascii="Calibri" w:eastAsia="Calibri" w:hAnsi="Calibri" w:cs="B Nazanin" w:hint="cs"/>
          <w:sz w:val="28"/>
          <w:szCs w:val="28"/>
          <w:rtl/>
        </w:rPr>
        <w:t>(</w:t>
      </w:r>
      <w:r w:rsidRPr="0066755D">
        <w:rPr>
          <w:rStyle w:val="tarjome"/>
          <w:rFonts w:ascii="Calibri" w:eastAsia="Calibri" w:hAnsi="Calibri" w:cs="B Nazanin"/>
          <w:sz w:val="28"/>
          <w:szCs w:val="28"/>
        </w:rPr>
        <w:t xml:space="preserve"> </w:t>
      </w:r>
      <w:r w:rsidRPr="0066755D">
        <w:rPr>
          <w:rStyle w:val="tarjome"/>
          <w:rFonts w:ascii="Calibri" w:eastAsia="Calibri" w:hAnsi="Calibri" w:cs="B Nazanin"/>
          <w:sz w:val="28"/>
          <w:szCs w:val="28"/>
          <w:rtl/>
        </w:rPr>
        <w:t xml:space="preserve">خدا را ) با « الله » یا « رحمن‌ </w:t>
      </w:r>
      <w:r>
        <w:rPr>
          <w:rStyle w:val="tarjome"/>
          <w:rFonts w:ascii="Calibri" w:eastAsia="Calibri" w:hAnsi="Calibri" w:cs="B Nazanin" w:hint="cs"/>
          <w:sz w:val="28"/>
          <w:szCs w:val="28"/>
          <w:rtl/>
        </w:rPr>
        <w:t>»</w:t>
      </w:r>
      <w:r w:rsidRPr="0066755D">
        <w:rPr>
          <w:rStyle w:val="tarjome"/>
          <w:rFonts w:ascii="Calibri" w:eastAsia="Calibri" w:hAnsi="Calibri" w:cs="B Nazanin"/>
          <w:sz w:val="28"/>
          <w:szCs w:val="28"/>
          <w:rtl/>
        </w:rPr>
        <w:t xml:space="preserve"> به کمک طلبید ( فرقی نمی‌کند ، و خدا را به نامها و صفات متعدّد به فریاد خواندن ، مخالف توحید نیست ) خدا را به هر کدام ( از اسماء حُسنی ) بخوانید ( مانعی ندارد و تعداد اسماء نشانه تعدّد مُسمّی نیست و ) او دارای نامهای زیبا است ( که هر یک مُعرِّف کاری از کارها و بیانگر زاویه‌ای از کمالات یزدان جهان است . ای پیغمبر هنگامی که به نماز ایستادی ) نمازت را بلند یا آهسته مخوان ، و بلکه میان آن دو راهی پیش گیر ( که میانه‌روی و اعتدال است</w:t>
      </w:r>
      <w:r w:rsidRPr="0066755D">
        <w:rPr>
          <w:rStyle w:val="tarjome"/>
          <w:rFonts w:ascii="Calibri" w:eastAsia="Calibri" w:hAnsi="Calibri" w:cs="B Nazanin"/>
          <w:sz w:val="28"/>
          <w:szCs w:val="28"/>
        </w:rPr>
        <w:t xml:space="preserve"> </w:t>
      </w:r>
      <w:r>
        <w:rPr>
          <w:rStyle w:val="tarjome"/>
          <w:rFonts w:ascii="Calibri" w:eastAsia="Calibri" w:hAnsi="Calibri" w:cs="B Nazanin" w:hint="cs"/>
          <w:sz w:val="28"/>
          <w:szCs w:val="28"/>
          <w:rtl/>
        </w:rPr>
        <w:t>)</w:t>
      </w:r>
    </w:p>
    <w:p w:rsidR="0066755D" w:rsidRPr="0066755D" w:rsidRDefault="0066755D" w:rsidP="0066755D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6755D" w:rsidRPr="0066755D" w:rsidRDefault="0066755D" w:rsidP="0066755D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6755D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وَقُلِ الْحَمْدُ لِلّهِ الَّذِی لَمْ یَتَّخِذْ وَلَداً وَلَم یَکُن لَّهُ شَرِیکٌ فِی الْمُلْکِ وَلَمْ یَکُن لَّهُ وَلِیٌّ مِّنَ الذُّلَّ وَکَبِّرْهُ تَکْبِیراً</w:t>
      </w:r>
      <w:r w:rsidRPr="0066755D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66755D" w:rsidRPr="0066755D" w:rsidRDefault="0066755D" w:rsidP="0066755D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r w:rsidRPr="0066755D">
        <w:rPr>
          <w:rStyle w:val="tarjome"/>
          <w:rFonts w:ascii="Calibri" w:eastAsia="Calibri" w:hAnsi="Calibri" w:cs="B Nazanin"/>
          <w:sz w:val="28"/>
          <w:szCs w:val="28"/>
          <w:rtl/>
        </w:rPr>
        <w:t>بگو</w:t>
      </w:r>
      <w:r>
        <w:rPr>
          <w:rStyle w:val="tarjome"/>
          <w:rFonts w:ascii="Calibri" w:eastAsia="Calibri" w:hAnsi="Calibri" w:cs="B Nazanin" w:hint="cs"/>
          <w:sz w:val="28"/>
          <w:szCs w:val="28"/>
          <w:rtl/>
        </w:rPr>
        <w:t>:</w:t>
      </w:r>
      <w:r w:rsidRPr="0066755D">
        <w:rPr>
          <w:rStyle w:val="tarjome"/>
          <w:rFonts w:ascii="Calibri" w:eastAsia="Calibri" w:hAnsi="Calibri" w:cs="B Nazanin"/>
          <w:sz w:val="28"/>
          <w:szCs w:val="28"/>
        </w:rPr>
        <w:t xml:space="preserve"> </w:t>
      </w:r>
      <w:r w:rsidRPr="0066755D">
        <w:rPr>
          <w:rStyle w:val="tarjome"/>
          <w:rFonts w:ascii="Calibri" w:eastAsia="Calibri" w:hAnsi="Calibri" w:cs="B Nazanin"/>
          <w:sz w:val="28"/>
          <w:szCs w:val="28"/>
          <w:rtl/>
        </w:rPr>
        <w:t xml:space="preserve">حمد و سپاس خداوندی را سزا است که برای خود فرزندی برنگزیده است و در </w:t>
      </w:r>
      <w:r>
        <w:rPr>
          <w:rStyle w:val="tarjome"/>
          <w:rFonts w:ascii="Calibri" w:eastAsia="Calibri" w:hAnsi="Calibri" w:cs="B Nazanin"/>
          <w:sz w:val="28"/>
          <w:szCs w:val="28"/>
          <w:rtl/>
        </w:rPr>
        <w:t>فرمانروائی و مالکیّت (جهان</w:t>
      </w:r>
      <w:r w:rsidRPr="0066755D">
        <w:rPr>
          <w:rStyle w:val="tarjome"/>
          <w:rFonts w:ascii="Calibri" w:eastAsia="Calibri" w:hAnsi="Calibri" w:cs="B Nazanin"/>
          <w:sz w:val="28"/>
          <w:szCs w:val="28"/>
          <w:rtl/>
        </w:rPr>
        <w:t>) انبازی انتخاب ننموده است و یاوری به خاطر ناتوانی نداشته است . بنابراین او را چنان که باید به عظمت بستا ( و زبان به بزرگواریش بگشا</w:t>
      </w:r>
      <w:r w:rsidRPr="0066755D">
        <w:rPr>
          <w:rStyle w:val="tarjome"/>
          <w:rFonts w:ascii="Calibri" w:eastAsia="Calibri" w:hAnsi="Calibri" w:cs="B Nazanin"/>
          <w:sz w:val="28"/>
          <w:szCs w:val="28"/>
        </w:rPr>
        <w:t xml:space="preserve"> </w:t>
      </w:r>
      <w:r>
        <w:rPr>
          <w:rStyle w:val="tarjome"/>
          <w:rFonts w:ascii="Calibri" w:eastAsia="Calibri" w:hAnsi="Calibri" w:cs="B Nazanin" w:hint="cs"/>
          <w:sz w:val="28"/>
          <w:szCs w:val="28"/>
          <w:rtl/>
        </w:rPr>
        <w:t>).</w:t>
      </w:r>
    </w:p>
    <w:p w:rsidR="00677533" w:rsidRPr="0066755D" w:rsidRDefault="00677533" w:rsidP="0066755D">
      <w:pPr>
        <w:rPr>
          <w:rStyle w:val="farsi"/>
          <w:rFonts w:hint="cs"/>
          <w:rtl/>
          <w:lang w:bidi="fa-IR"/>
        </w:rPr>
      </w:pPr>
    </w:p>
    <w:sectPr w:rsidR="00677533" w:rsidRPr="0066755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033" w:rsidRDefault="00256033" w:rsidP="00D022FA">
      <w:pPr>
        <w:spacing w:after="0" w:line="240" w:lineRule="auto"/>
      </w:pPr>
      <w:r>
        <w:separator/>
      </w:r>
    </w:p>
  </w:endnote>
  <w:endnote w:type="continuationSeparator" w:id="0">
    <w:p w:rsidR="00256033" w:rsidRDefault="0025603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AB5401D-1FA3-40C1-A812-5187EC7DF3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2BF2E51-526D-434B-8D6A-89BF94C4F7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FA1A2C9-E73D-45C9-9878-4A7D982290CF}"/>
    <w:embedBold r:id="rId4" w:fontKey="{D8170817-FC18-470E-BE91-4BCB67AF190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ABBFD7D-F293-4A4D-AC6B-68CC34F4B28A}"/>
    <w:embedBold r:id="rId6" w:fontKey="{2D273131-2711-464D-BB33-898018EF24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297F30E-48E4-463E-8919-C6F98DDA7D53}"/>
    <w:embedBold r:id="rId8" w:fontKey="{E1879469-6E03-4093-905B-F8F492C6FB0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8E9E276-A5BD-43A5-9030-FA93231910D8}"/>
    <w:embedBold r:id="rId10" w:fontKey="{FC0F8438-296D-427E-AA67-8415AEAF757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E3276CD-5A00-4C00-9606-324802B1BBE3}"/>
    <w:embedBold r:id="rId12" w:fontKey="{43E7CF74-59D2-4F67-B597-131AFB3A234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976F43A-0C9C-4245-843F-DA05F03649D0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3F18EBF-A96B-4097-9E72-62D73E335ED9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16387AF-6959-41AA-B5E7-E242BD0346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ACC3326-2F90-4F6C-86C1-7CAE3273E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6755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033" w:rsidRDefault="00256033" w:rsidP="00D022FA">
      <w:pPr>
        <w:spacing w:after="0" w:line="240" w:lineRule="auto"/>
      </w:pPr>
      <w:r>
        <w:separator/>
      </w:r>
    </w:p>
  </w:footnote>
  <w:footnote w:type="continuationSeparator" w:id="0">
    <w:p w:rsidR="00256033" w:rsidRDefault="00256033" w:rsidP="00D022FA">
      <w:pPr>
        <w:spacing w:after="0" w:line="240" w:lineRule="auto"/>
      </w:pPr>
      <w:r>
        <w:continuationSeparator/>
      </w:r>
    </w:p>
  </w:footnote>
  <w:footnote w:id="1">
    <w:p w:rsidR="0066755D" w:rsidRPr="0066755D" w:rsidRDefault="0066755D">
      <w:pPr>
        <w:pStyle w:val="FootnoteText"/>
        <w:rPr>
          <w:rStyle w:val="farsi"/>
          <w:rFonts w:cs="B Zar"/>
        </w:rPr>
      </w:pPr>
      <w:r w:rsidRPr="0066755D">
        <w:rPr>
          <w:rStyle w:val="farsi"/>
          <w:rFonts w:cs="B Zar"/>
        </w:rPr>
        <w:footnoteRef/>
      </w:r>
      <w:r w:rsidRPr="0066755D">
        <w:rPr>
          <w:rStyle w:val="farsi"/>
          <w:rFonts w:cs="B Zar"/>
          <w:rtl/>
        </w:rPr>
        <w:t xml:space="preserve"> </w:t>
      </w:r>
      <w:r w:rsidRPr="0066755D">
        <w:rPr>
          <w:rStyle w:val="farsi"/>
          <w:rFonts w:cs="B Zar" w:hint="cs"/>
          <w:rtl/>
        </w:rPr>
        <w:t>) سوره الاسراء، آیات 110-111.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6755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78C658" wp14:editId="2D5DF0C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6755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3E52C6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</w:t>
    </w:r>
    <w:r w:rsidR="0066755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 برای ایمنی از دزد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56033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2014-04-23T04:42:00Z</cp:lastPrinted>
  <dcterms:created xsi:type="dcterms:W3CDTF">2015-01-31T06:16:00Z</dcterms:created>
  <dcterms:modified xsi:type="dcterms:W3CDTF">2015-01-31T06:16:00Z</dcterms:modified>
</cp:coreProperties>
</file>